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0C46" w14:textId="77777777" w:rsidR="003F68CB" w:rsidRPr="00AC2100" w:rsidRDefault="003F68CB" w:rsidP="003F68CB">
      <w:pPr>
        <w:pStyle w:val="BodyText"/>
        <w:jc w:val="center"/>
        <w:rPr>
          <w:bCs/>
          <w:szCs w:val="22"/>
          <w:u w:val="none"/>
        </w:rPr>
      </w:pPr>
      <w:r w:rsidRPr="00AC2100">
        <w:rPr>
          <w:bCs/>
          <w:szCs w:val="22"/>
          <w:u w:val="none"/>
        </w:rPr>
        <w:t>DISCIPLINE LIST PROPOSAL PROCESS</w:t>
      </w:r>
    </w:p>
    <w:p w14:paraId="4AF89E4A" w14:textId="77777777" w:rsidR="003F68CB" w:rsidRPr="00AC2100" w:rsidRDefault="003F68CB" w:rsidP="003F68CB">
      <w:pPr>
        <w:pStyle w:val="BodyText"/>
        <w:rPr>
          <w:b w:val="0"/>
          <w:bCs/>
          <w:szCs w:val="22"/>
          <w:u w:val="none"/>
        </w:rPr>
      </w:pPr>
    </w:p>
    <w:p w14:paraId="3EDD53F3" w14:textId="77777777" w:rsidR="003F68CB" w:rsidRPr="003A4870" w:rsidRDefault="003F68CB" w:rsidP="003F68CB">
      <w:pPr>
        <w:pStyle w:val="BodyText"/>
        <w:rPr>
          <w:szCs w:val="22"/>
          <w:highlight w:val="yellow"/>
        </w:rPr>
      </w:pPr>
      <w:r w:rsidRPr="003A4870">
        <w:rPr>
          <w:szCs w:val="22"/>
          <w:highlight w:val="yellow"/>
        </w:rPr>
        <w:t>How Changes Are Proposed?</w:t>
      </w:r>
    </w:p>
    <w:p w14:paraId="4BEA6DAA" w14:textId="77777777" w:rsidR="003F68CB" w:rsidRPr="003A4870" w:rsidRDefault="003F68CB" w:rsidP="003F68CB">
      <w:pPr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>There are two avenues for proposing changes</w:t>
      </w:r>
      <w:r w:rsidRPr="003A4870">
        <w:rPr>
          <w:color w:val="000000"/>
          <w:sz w:val="22"/>
          <w:szCs w:val="22"/>
          <w:highlight w:val="yellow"/>
        </w:rPr>
        <w:t>: 1) through a local or district academic senate or 2) through a recognized org</w:t>
      </w:r>
      <w:r w:rsidRPr="003A4870">
        <w:rPr>
          <w:sz w:val="22"/>
          <w:szCs w:val="22"/>
          <w:highlight w:val="yellow"/>
        </w:rPr>
        <w:t xml:space="preserve">anization*.  Although the process for new proposals remains the same, a procedure for resubmissions has been added.  For more detailed information about the process, we highly suggest you review the Disciplines </w:t>
      </w:r>
      <w:r w:rsidR="00576753" w:rsidRPr="003A4870">
        <w:rPr>
          <w:sz w:val="22"/>
          <w:szCs w:val="22"/>
          <w:highlight w:val="yellow"/>
        </w:rPr>
        <w:t>handbook</w:t>
      </w:r>
      <w:r w:rsidRPr="003A4870">
        <w:rPr>
          <w:sz w:val="22"/>
          <w:szCs w:val="22"/>
          <w:highlight w:val="yellow"/>
        </w:rPr>
        <w:t xml:space="preserve">, which can be accessed on our website at: </w:t>
      </w:r>
      <w:hyperlink r:id="rId7" w:history="1">
        <w:r w:rsidR="00D4613C" w:rsidRPr="003A4870">
          <w:rPr>
            <w:rStyle w:val="Hyperlink"/>
            <w:sz w:val="22"/>
            <w:szCs w:val="22"/>
            <w:highlight w:val="yellow"/>
          </w:rPr>
          <w:t>https://asccc.org/sites/default/files/DLHandbook_Final_Revision_Spr_20.pdf</w:t>
        </w:r>
      </w:hyperlink>
      <w:r w:rsidR="00D4613C" w:rsidRPr="003A4870">
        <w:rPr>
          <w:sz w:val="22"/>
          <w:szCs w:val="22"/>
          <w:highlight w:val="yellow"/>
        </w:rPr>
        <w:t xml:space="preserve">. </w:t>
      </w:r>
    </w:p>
    <w:p w14:paraId="7B7DEB2B" w14:textId="77777777" w:rsidR="003F68CB" w:rsidRPr="003A4870" w:rsidRDefault="003F68CB" w:rsidP="003F68CB">
      <w:pPr>
        <w:rPr>
          <w:sz w:val="22"/>
          <w:szCs w:val="22"/>
          <w:highlight w:val="yellow"/>
        </w:rPr>
      </w:pPr>
    </w:p>
    <w:p w14:paraId="28B3DDB6" w14:textId="76AC8256" w:rsidR="00761579" w:rsidRPr="003A4870" w:rsidRDefault="00761579" w:rsidP="00761579">
      <w:pPr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>Any Disciplines List proposal must have the following evidence, which is essential because it provides the rationale about why the change is needed as well as inform</w:t>
      </w:r>
      <w:r w:rsidR="009A10FF" w:rsidRPr="003A4870">
        <w:rPr>
          <w:sz w:val="22"/>
          <w:szCs w:val="22"/>
          <w:highlight w:val="yellow"/>
        </w:rPr>
        <w:t>s</w:t>
      </w:r>
      <w:r w:rsidRPr="003A4870">
        <w:rPr>
          <w:sz w:val="22"/>
          <w:szCs w:val="22"/>
          <w:highlight w:val="yellow"/>
        </w:rPr>
        <w:t xml:space="preserve"> the field that the research has been completed to ensure that the change is necessary.  </w:t>
      </w:r>
      <w:r w:rsidRPr="003A4870">
        <w:rPr>
          <w:sz w:val="22"/>
          <w:szCs w:val="22"/>
          <w:highlight w:val="yellow"/>
          <w:u w:val="single"/>
        </w:rPr>
        <w:t xml:space="preserve">A lack of documentation about the need of Discipline List Revision may cause the proposal to be delayed or rejected by the </w:t>
      </w:r>
      <w:r w:rsidR="00900AED" w:rsidRPr="003A4870">
        <w:rPr>
          <w:sz w:val="22"/>
          <w:szCs w:val="22"/>
          <w:highlight w:val="yellow"/>
          <w:u w:val="single"/>
        </w:rPr>
        <w:t>Academic Senate Council</w:t>
      </w:r>
      <w:r w:rsidRPr="003A4870">
        <w:rPr>
          <w:sz w:val="22"/>
          <w:szCs w:val="22"/>
          <w:highlight w:val="yellow"/>
        </w:rPr>
        <w:t xml:space="preserve">.  Please use the following </w:t>
      </w:r>
      <w:proofErr w:type="gramStart"/>
      <w:r w:rsidRPr="003A4870">
        <w:rPr>
          <w:sz w:val="22"/>
          <w:szCs w:val="22"/>
          <w:highlight w:val="yellow"/>
        </w:rPr>
        <w:t>check</w:t>
      </w:r>
      <w:r w:rsidR="009A10FF" w:rsidRPr="003A4870">
        <w:rPr>
          <w:sz w:val="22"/>
          <w:szCs w:val="22"/>
          <w:highlight w:val="yellow"/>
        </w:rPr>
        <w:t>-</w:t>
      </w:r>
      <w:r w:rsidRPr="003A4870">
        <w:rPr>
          <w:sz w:val="22"/>
          <w:szCs w:val="22"/>
          <w:highlight w:val="yellow"/>
        </w:rPr>
        <w:t>list</w:t>
      </w:r>
      <w:proofErr w:type="gramEnd"/>
      <w:r w:rsidRPr="003A4870">
        <w:rPr>
          <w:sz w:val="22"/>
          <w:szCs w:val="22"/>
          <w:highlight w:val="yellow"/>
        </w:rPr>
        <w:t xml:space="preserve"> to ensure all you have conducted all necessary research.  </w:t>
      </w:r>
      <w:r w:rsidRPr="003A4870">
        <w:rPr>
          <w:sz w:val="22"/>
          <w:szCs w:val="22"/>
          <w:highlight w:val="yellow"/>
        </w:rPr>
        <w:br/>
      </w:r>
    </w:p>
    <w:p w14:paraId="174D6A28" w14:textId="77777777" w:rsidR="00761579" w:rsidRPr="003A4870" w:rsidRDefault="00761579" w:rsidP="00761579">
      <w:pPr>
        <w:pStyle w:val="LightGrid-Accent3"/>
        <w:spacing w:after="0" w:line="240" w:lineRule="auto"/>
        <w:ind w:left="0"/>
        <w:rPr>
          <w:rFonts w:ascii="Times New Roman" w:hAnsi="Times New Roman"/>
          <w:highlight w:val="yellow"/>
          <w:u w:val="single"/>
        </w:rPr>
      </w:pPr>
      <w:r w:rsidRPr="003A4870">
        <w:rPr>
          <w:rFonts w:ascii="Times New Roman" w:hAnsi="Times New Roman"/>
          <w:highlight w:val="yellow"/>
          <w:u w:val="single"/>
        </w:rPr>
        <w:t xml:space="preserve">Required investigation of the following and statement of findings: </w:t>
      </w:r>
    </w:p>
    <w:p w14:paraId="0FEE4E9C" w14:textId="77777777" w:rsidR="00761579" w:rsidRPr="003A4870" w:rsidRDefault="0076157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>Contacted an associated professional organization to determine support of proposal</w:t>
      </w:r>
    </w:p>
    <w:p w14:paraId="444A747D" w14:textId="77777777" w:rsidR="00761579" w:rsidRPr="003A4870" w:rsidRDefault="0076157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>Included evidence of degrees within the proposed revision of the discipline or new discipline.</w:t>
      </w:r>
    </w:p>
    <w:p w14:paraId="7763B3A0" w14:textId="77777777" w:rsidR="00761579" w:rsidRPr="003A4870" w:rsidRDefault="0076157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 xml:space="preserve">Provided a list of the titles of the degrees and programs to document the need for a new or revised discipline using the below criteria: </w:t>
      </w:r>
    </w:p>
    <w:p w14:paraId="46EF079F" w14:textId="77777777" w:rsidR="00761579" w:rsidRPr="003A4870" w:rsidRDefault="00761579" w:rsidP="00761579">
      <w:pPr>
        <w:pStyle w:val="LightGrid-Accent3"/>
        <w:numPr>
          <w:ilvl w:val="1"/>
          <w:numId w:val="17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>Minimum of three degrees</w:t>
      </w:r>
    </w:p>
    <w:p w14:paraId="5B043A66" w14:textId="77777777" w:rsidR="00761579" w:rsidRPr="003A4870" w:rsidRDefault="00761579" w:rsidP="00761579">
      <w:pPr>
        <w:pStyle w:val="LightGrid-Accent3"/>
        <w:numPr>
          <w:ilvl w:val="1"/>
          <w:numId w:val="17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>Regionally accredited institutions (all public institutions in California)</w:t>
      </w:r>
    </w:p>
    <w:p w14:paraId="4C413A83" w14:textId="77777777" w:rsidR="00761579" w:rsidRPr="003A4870" w:rsidRDefault="00761579" w:rsidP="00761579">
      <w:pPr>
        <w:pStyle w:val="LightGrid-Accent3"/>
        <w:numPr>
          <w:ilvl w:val="1"/>
          <w:numId w:val="17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 xml:space="preserve">Disciplines in the </w:t>
      </w:r>
      <w:proofErr w:type="gramStart"/>
      <w:r w:rsidRPr="003A4870">
        <w:rPr>
          <w:rFonts w:ascii="Times New Roman" w:hAnsi="Times New Roman"/>
          <w:highlight w:val="yellow"/>
        </w:rPr>
        <w:t>Master’s</w:t>
      </w:r>
      <w:proofErr w:type="gramEnd"/>
      <w:r w:rsidRPr="003A4870">
        <w:rPr>
          <w:rFonts w:ascii="Times New Roman" w:hAnsi="Times New Roman"/>
          <w:highlight w:val="yellow"/>
        </w:rPr>
        <w:t xml:space="preserve"> List requires evidence of the availability of master</w:t>
      </w:r>
      <w:r w:rsidR="001D62BC" w:rsidRPr="003A4870">
        <w:rPr>
          <w:rFonts w:ascii="Times New Roman" w:hAnsi="Times New Roman"/>
          <w:highlight w:val="yellow"/>
        </w:rPr>
        <w:t>’</w:t>
      </w:r>
      <w:r w:rsidRPr="003A4870">
        <w:rPr>
          <w:rFonts w:ascii="Times New Roman" w:hAnsi="Times New Roman"/>
          <w:highlight w:val="yellow"/>
        </w:rPr>
        <w:t>s degrees</w:t>
      </w:r>
    </w:p>
    <w:p w14:paraId="7D6E9D29" w14:textId="77777777" w:rsidR="00761579" w:rsidRPr="003A4870" w:rsidRDefault="00761579" w:rsidP="00761579">
      <w:pPr>
        <w:pStyle w:val="LightGrid-Accent3"/>
        <w:numPr>
          <w:ilvl w:val="1"/>
          <w:numId w:val="17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>Disciplines in the Non-master</w:t>
      </w:r>
      <w:r w:rsidR="001D62BC" w:rsidRPr="003A4870">
        <w:rPr>
          <w:rFonts w:ascii="Times New Roman" w:hAnsi="Times New Roman"/>
          <w:highlight w:val="yellow"/>
        </w:rPr>
        <w:t>’</w:t>
      </w:r>
      <w:r w:rsidRPr="003A4870">
        <w:rPr>
          <w:rFonts w:ascii="Times New Roman" w:hAnsi="Times New Roman"/>
          <w:highlight w:val="yellow"/>
        </w:rPr>
        <w:t>s List requires evidence of the availability of degree, certification, and/or professional experience, if necessary</w:t>
      </w:r>
    </w:p>
    <w:p w14:paraId="17902B7A" w14:textId="77777777" w:rsidR="00761579" w:rsidRPr="003A4870" w:rsidRDefault="0076157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 xml:space="preserve">Provided statewide need documented by evidence to show a change is necessary and not merely a response to a unique need of one college, </w:t>
      </w:r>
      <w:proofErr w:type="gramStart"/>
      <w:r w:rsidRPr="003A4870">
        <w:rPr>
          <w:rFonts w:ascii="Times New Roman" w:hAnsi="Times New Roman"/>
          <w:highlight w:val="yellow"/>
        </w:rPr>
        <w:t>district</w:t>
      </w:r>
      <w:proofErr w:type="gramEnd"/>
      <w:r w:rsidRPr="003A4870">
        <w:rPr>
          <w:rFonts w:ascii="Times New Roman" w:hAnsi="Times New Roman"/>
          <w:highlight w:val="yellow"/>
        </w:rPr>
        <w:t xml:space="preserve"> or region.  Demonstrated a balance of need across the state and included a discipline seconder from another district. </w:t>
      </w:r>
    </w:p>
    <w:p w14:paraId="10E0AB49" w14:textId="77777777" w:rsidR="00761579" w:rsidRPr="003A4870" w:rsidRDefault="0076157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 xml:space="preserve">Explained the impact of proposal across the state using a list the pro and con arguments and including refutation of the con arguments </w:t>
      </w:r>
    </w:p>
    <w:p w14:paraId="1617B955" w14:textId="77777777" w:rsidR="00761579" w:rsidRPr="003A4870" w:rsidRDefault="0076157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>Provided other evidence such as significant changes to the field that requires a change to the Disciplines List.</w:t>
      </w:r>
    </w:p>
    <w:p w14:paraId="272DB2FE" w14:textId="77777777" w:rsidR="00246F49" w:rsidRPr="003A4870" w:rsidRDefault="00246F49" w:rsidP="00761579">
      <w:pPr>
        <w:pStyle w:val="LightGrid-Accent3"/>
        <w:numPr>
          <w:ilvl w:val="0"/>
          <w:numId w:val="16"/>
        </w:numPr>
        <w:spacing w:after="0" w:line="240" w:lineRule="auto"/>
        <w:rPr>
          <w:rFonts w:ascii="Times New Roman" w:hAnsi="Times New Roman"/>
          <w:highlight w:val="yellow"/>
        </w:rPr>
      </w:pPr>
      <w:r w:rsidRPr="003A4870">
        <w:rPr>
          <w:rFonts w:ascii="Times New Roman" w:hAnsi="Times New Roman"/>
          <w:highlight w:val="yellow"/>
        </w:rPr>
        <w:t xml:space="preserve">Provided a ½ page written rationale to be included in public documents.  </w:t>
      </w:r>
    </w:p>
    <w:p w14:paraId="1F388E32" w14:textId="77777777" w:rsidR="004F4287" w:rsidRPr="003A4870" w:rsidRDefault="004F4287" w:rsidP="003F68CB">
      <w:pPr>
        <w:rPr>
          <w:sz w:val="22"/>
          <w:szCs w:val="22"/>
          <w:highlight w:val="yellow"/>
        </w:rPr>
      </w:pPr>
    </w:p>
    <w:p w14:paraId="57B3D86C" w14:textId="77777777" w:rsidR="003F68CB" w:rsidRPr="003A4870" w:rsidRDefault="003F68CB" w:rsidP="003F68CB">
      <w:pPr>
        <w:pStyle w:val="BodyText"/>
        <w:rPr>
          <w:szCs w:val="22"/>
          <w:highlight w:val="yellow"/>
        </w:rPr>
      </w:pPr>
      <w:r w:rsidRPr="003A4870">
        <w:rPr>
          <w:szCs w:val="22"/>
          <w:highlight w:val="yellow"/>
        </w:rPr>
        <w:t>New proposed changes may be submitted:</w:t>
      </w:r>
    </w:p>
    <w:p w14:paraId="29829348" w14:textId="77777777" w:rsidR="003F68CB" w:rsidRPr="003A4870" w:rsidRDefault="003F68CB" w:rsidP="003F68C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2"/>
          <w:szCs w:val="22"/>
          <w:highlight w:val="yellow"/>
        </w:rPr>
      </w:pPr>
      <w:r w:rsidRPr="003A4870">
        <w:rPr>
          <w:b/>
          <w:sz w:val="22"/>
          <w:szCs w:val="22"/>
          <w:highlight w:val="yellow"/>
        </w:rPr>
        <w:tab/>
        <w:t>1.</w:t>
      </w:r>
      <w:r w:rsidRPr="003A4870">
        <w:rPr>
          <w:b/>
          <w:sz w:val="22"/>
          <w:szCs w:val="22"/>
          <w:highlight w:val="yellow"/>
        </w:rPr>
        <w:tab/>
        <w:t>Through the local/district senate</w:t>
      </w:r>
    </w:p>
    <w:p w14:paraId="11590827" w14:textId="77777777" w:rsidR="003F68CB" w:rsidRPr="003A4870" w:rsidRDefault="003F68CB" w:rsidP="00554429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>Any faculty member may initiate a proposal to change the Disciplines List.</w:t>
      </w:r>
    </w:p>
    <w:p w14:paraId="1F9A6F3A" w14:textId="77777777" w:rsidR="003F68CB" w:rsidRPr="003A4870" w:rsidRDefault="003F68CB" w:rsidP="003F68CB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>Local academic senates should engage in discussion regarding the proposals among its faculty.</w:t>
      </w:r>
    </w:p>
    <w:p w14:paraId="02A9BA3F" w14:textId="77777777" w:rsidR="003F68CB" w:rsidRPr="003A4870" w:rsidRDefault="003F68CB" w:rsidP="003F68CB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>Local academic senates must approve any/all recommendations before forwarding them to the Academic Senate Office</w:t>
      </w:r>
      <w:proofErr w:type="gramStart"/>
      <w:r w:rsidRPr="003A4870">
        <w:rPr>
          <w:sz w:val="22"/>
          <w:szCs w:val="22"/>
          <w:highlight w:val="yellow"/>
        </w:rPr>
        <w:t xml:space="preserve">. </w:t>
      </w:r>
      <w:proofErr w:type="gramEnd"/>
      <w:r w:rsidRPr="003A4870">
        <w:rPr>
          <w:sz w:val="22"/>
          <w:szCs w:val="22"/>
          <w:highlight w:val="yellow"/>
        </w:rPr>
        <w:t xml:space="preserve">This local senate president must sign the Discipline List Revision Form.  </w:t>
      </w:r>
    </w:p>
    <w:p w14:paraId="445AC2E0" w14:textId="77777777" w:rsidR="003F68CB" w:rsidRPr="003A4870" w:rsidRDefault="003F68CB" w:rsidP="003F68C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2"/>
          <w:szCs w:val="22"/>
          <w:highlight w:val="yellow"/>
        </w:rPr>
      </w:pPr>
      <w:r w:rsidRPr="003A4870">
        <w:rPr>
          <w:b/>
          <w:sz w:val="22"/>
          <w:szCs w:val="22"/>
          <w:highlight w:val="yellow"/>
        </w:rPr>
        <w:tab/>
        <w:t>2.</w:t>
      </w:r>
      <w:r w:rsidRPr="003A4870">
        <w:rPr>
          <w:b/>
          <w:sz w:val="22"/>
          <w:szCs w:val="22"/>
          <w:highlight w:val="yellow"/>
        </w:rPr>
        <w:tab/>
        <w:t>Through a recognized discipline or professional organization</w:t>
      </w:r>
    </w:p>
    <w:p w14:paraId="68F2E9DC" w14:textId="77777777" w:rsidR="003F68CB" w:rsidRPr="003A4870" w:rsidRDefault="003F68CB" w:rsidP="003F68CB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>Any member of the organization may initiate a proposal to change the Disciplines List.</w:t>
      </w:r>
    </w:p>
    <w:p w14:paraId="4A028FA3" w14:textId="77777777" w:rsidR="003F68CB" w:rsidRPr="003A4870" w:rsidRDefault="003F68CB" w:rsidP="003F68CB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 xml:space="preserve">The organization should hold hearings </w:t>
      </w:r>
      <w:r w:rsidRPr="003A4870">
        <w:rPr>
          <w:color w:val="000000"/>
          <w:sz w:val="22"/>
          <w:szCs w:val="22"/>
          <w:highlight w:val="yellow"/>
        </w:rPr>
        <w:t>or engage in discussion</w:t>
      </w:r>
      <w:r w:rsidRPr="003A4870">
        <w:rPr>
          <w:color w:val="FF0000"/>
          <w:sz w:val="22"/>
          <w:szCs w:val="22"/>
          <w:highlight w:val="yellow"/>
        </w:rPr>
        <w:t xml:space="preserve"> </w:t>
      </w:r>
      <w:r w:rsidRPr="003A4870">
        <w:rPr>
          <w:sz w:val="22"/>
          <w:szCs w:val="22"/>
          <w:highlight w:val="yellow"/>
        </w:rPr>
        <w:t>regarding the proposals among its members.</w:t>
      </w:r>
    </w:p>
    <w:p w14:paraId="5F4D3D93" w14:textId="77777777" w:rsidR="003F68CB" w:rsidRPr="003A4870" w:rsidRDefault="003F68CB" w:rsidP="003F68CB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t xml:space="preserve">The governing body of the organization must approve any/all recommendations before forwarding them to the Academic Senate Office.  The president of the organization must sign the Discipline List Revision Form.  </w:t>
      </w:r>
    </w:p>
    <w:p w14:paraId="314016AE" w14:textId="77777777" w:rsidR="003F68CB" w:rsidRPr="003A4870" w:rsidRDefault="003F68CB" w:rsidP="003F68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rPr>
          <w:sz w:val="22"/>
          <w:szCs w:val="22"/>
          <w:highlight w:val="yellow"/>
        </w:rPr>
      </w:pPr>
      <w:r w:rsidRPr="003A4870">
        <w:rPr>
          <w:sz w:val="22"/>
          <w:szCs w:val="22"/>
          <w:highlight w:val="yellow"/>
        </w:rPr>
        <w:br/>
        <w:t xml:space="preserve">*Recognized organization:  an organization that is registered at the </w:t>
      </w:r>
      <w:r w:rsidR="0097184E" w:rsidRPr="003A4870">
        <w:rPr>
          <w:sz w:val="22"/>
          <w:szCs w:val="22"/>
          <w:highlight w:val="yellow"/>
        </w:rPr>
        <w:t xml:space="preserve">Chancellor’s </w:t>
      </w:r>
      <w:r w:rsidRPr="003A4870">
        <w:rPr>
          <w:sz w:val="22"/>
          <w:szCs w:val="22"/>
          <w:highlight w:val="yellow"/>
        </w:rPr>
        <w:t xml:space="preserve">Office as </w:t>
      </w:r>
      <w:r w:rsidRPr="003A4870">
        <w:rPr>
          <w:sz w:val="22"/>
          <w:szCs w:val="22"/>
          <w:highlight w:val="yellow"/>
        </w:rPr>
        <w:lastRenderedPageBreak/>
        <w:t xml:space="preserve">representing a specific discipline, or a regional, state, national, or international organization with a formally adopted constitution or by-laws. </w:t>
      </w:r>
    </w:p>
    <w:p w14:paraId="02B2E8BB" w14:textId="77777777" w:rsidR="003F68CB" w:rsidRPr="003A4870" w:rsidRDefault="003F68CB" w:rsidP="003F68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highlight w:val="yellow"/>
        </w:rPr>
      </w:pPr>
    </w:p>
    <w:p w14:paraId="24970768" w14:textId="77777777" w:rsidR="0026788C" w:rsidRPr="002F6B55" w:rsidRDefault="003F68CB" w:rsidP="00C31E87">
      <w:pPr>
        <w:pStyle w:val="Body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3A4870">
        <w:rPr>
          <w:szCs w:val="22"/>
          <w:highlight w:val="yellow"/>
        </w:rPr>
        <w:t xml:space="preserve">Previously </w:t>
      </w:r>
      <w:r w:rsidR="004D4A37" w:rsidRPr="003A4870">
        <w:rPr>
          <w:szCs w:val="22"/>
          <w:highlight w:val="yellow"/>
        </w:rPr>
        <w:t>p</w:t>
      </w:r>
      <w:r w:rsidRPr="003A4870">
        <w:rPr>
          <w:szCs w:val="22"/>
          <w:highlight w:val="yellow"/>
        </w:rPr>
        <w:t xml:space="preserve">roposed </w:t>
      </w:r>
      <w:r w:rsidR="004D4A37" w:rsidRPr="003A4870">
        <w:rPr>
          <w:szCs w:val="22"/>
          <w:highlight w:val="yellow"/>
        </w:rPr>
        <w:t>c</w:t>
      </w:r>
      <w:r w:rsidRPr="003A4870">
        <w:rPr>
          <w:szCs w:val="22"/>
          <w:highlight w:val="yellow"/>
        </w:rPr>
        <w:t>hanges that were not adopted</w:t>
      </w:r>
      <w:r w:rsidR="002B0757" w:rsidRPr="003A4870">
        <w:rPr>
          <w:szCs w:val="22"/>
          <w:highlight w:val="yellow"/>
        </w:rPr>
        <w:t xml:space="preserve"> at a plenary session</w:t>
      </w:r>
      <w:r w:rsidRPr="003A4870">
        <w:rPr>
          <w:szCs w:val="22"/>
          <w:highlight w:val="yellow"/>
        </w:rPr>
        <w:t>, may be resubmitted</w:t>
      </w:r>
      <w:r w:rsidR="00C31E87" w:rsidRPr="003A4870">
        <w:rPr>
          <w:szCs w:val="22"/>
          <w:highlight w:val="yellow"/>
        </w:rPr>
        <w:t xml:space="preserve"> o</w:t>
      </w:r>
      <w:r w:rsidRPr="003A4870">
        <w:rPr>
          <w:szCs w:val="22"/>
          <w:highlight w:val="yellow"/>
        </w:rPr>
        <w:t xml:space="preserve">nly if a new justification and rationale are provided, </w:t>
      </w:r>
      <w:r w:rsidRPr="003A4870">
        <w:rPr>
          <w:i/>
          <w:szCs w:val="22"/>
          <w:highlight w:val="yellow"/>
        </w:rPr>
        <w:t xml:space="preserve">AND </w:t>
      </w:r>
      <w:r w:rsidR="00DB655C" w:rsidRPr="003A4870">
        <w:rPr>
          <w:szCs w:val="22"/>
          <w:highlight w:val="yellow"/>
        </w:rPr>
        <w:t xml:space="preserve">the </w:t>
      </w:r>
      <w:r w:rsidR="005E7AAC" w:rsidRPr="003A4870">
        <w:rPr>
          <w:szCs w:val="22"/>
          <w:highlight w:val="yellow"/>
        </w:rPr>
        <w:t xml:space="preserve">Discipline List Revision Form </w:t>
      </w:r>
      <w:r w:rsidR="00DB655C" w:rsidRPr="003A4870">
        <w:rPr>
          <w:szCs w:val="22"/>
          <w:highlight w:val="yellow"/>
        </w:rPr>
        <w:t xml:space="preserve">is submitted </w:t>
      </w:r>
      <w:r w:rsidR="005E7AAC" w:rsidRPr="003A4870">
        <w:rPr>
          <w:szCs w:val="22"/>
          <w:highlight w:val="yellow"/>
        </w:rPr>
        <w:t>to the Senate</w:t>
      </w:r>
      <w:r w:rsidR="00A317C5" w:rsidRPr="003A4870">
        <w:rPr>
          <w:szCs w:val="22"/>
          <w:highlight w:val="yellow"/>
        </w:rPr>
        <w:t xml:space="preserve"> Office by the fin</w:t>
      </w:r>
      <w:r w:rsidR="006A3CF2" w:rsidRPr="003A4870">
        <w:rPr>
          <w:szCs w:val="22"/>
          <w:highlight w:val="yellow"/>
        </w:rPr>
        <w:t xml:space="preserve">al deadline </w:t>
      </w:r>
      <w:r w:rsidR="00C31E87" w:rsidRPr="003A4870">
        <w:rPr>
          <w:szCs w:val="22"/>
          <w:highlight w:val="yellow"/>
        </w:rPr>
        <w:t xml:space="preserve">of </w:t>
      </w:r>
      <w:r w:rsidR="000363D7" w:rsidRPr="003A4870">
        <w:rPr>
          <w:szCs w:val="22"/>
          <w:highlight w:val="yellow"/>
        </w:rPr>
        <w:t>September</w:t>
      </w:r>
      <w:r w:rsidR="000363D7">
        <w:rPr>
          <w:szCs w:val="22"/>
        </w:rPr>
        <w:t xml:space="preserve"> 30, 202</w:t>
      </w:r>
      <w:r w:rsidR="00B55CDB">
        <w:rPr>
          <w:szCs w:val="22"/>
        </w:rPr>
        <w:t>1</w:t>
      </w:r>
      <w:r w:rsidR="00C31E87">
        <w:rPr>
          <w:szCs w:val="22"/>
        </w:rPr>
        <w:t>.</w:t>
      </w:r>
    </w:p>
    <w:sectPr w:rsidR="0026788C" w:rsidRPr="002F6B55" w:rsidSect="002F6B55">
      <w:headerReference w:type="default" r:id="rId8"/>
      <w:footnotePr>
        <w:numFmt w:val="lowerLetter"/>
      </w:footnotePr>
      <w:endnotePr>
        <w:numFmt w:val="lowerLetter"/>
      </w:endnotePr>
      <w:pgSz w:w="12240" w:h="15840" w:code="1"/>
      <w:pgMar w:top="1260" w:right="1440" w:bottom="1440" w:left="1440" w:header="720" w:footer="446" w:gutter="0"/>
      <w:cols w:space="720" w:equalWidth="0">
        <w:col w:w="954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CE23" w14:textId="77777777" w:rsidR="00070DC0" w:rsidRDefault="00070DC0">
      <w:r>
        <w:separator/>
      </w:r>
    </w:p>
  </w:endnote>
  <w:endnote w:type="continuationSeparator" w:id="0">
    <w:p w14:paraId="459E7EB4" w14:textId="77777777" w:rsidR="00070DC0" w:rsidRDefault="000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5B93" w14:textId="77777777" w:rsidR="00070DC0" w:rsidRDefault="00070DC0">
      <w:r>
        <w:separator/>
      </w:r>
    </w:p>
  </w:footnote>
  <w:footnote w:type="continuationSeparator" w:id="0">
    <w:p w14:paraId="4B81FE60" w14:textId="77777777" w:rsidR="00070DC0" w:rsidRDefault="0007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E55" w14:textId="77777777" w:rsidR="00452DAC" w:rsidRDefault="00452DAC" w:rsidP="003F68CB">
    <w:pPr>
      <w:pStyle w:val="Header"/>
      <w:jc w:val="right"/>
    </w:pPr>
    <w:r>
      <w:t>Enclosure 1</w:t>
    </w:r>
  </w:p>
  <w:p w14:paraId="6527E1DB" w14:textId="77777777" w:rsidR="00452DAC" w:rsidRDefault="00452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E40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4D2C"/>
    <w:multiLevelType w:val="hybridMultilevel"/>
    <w:tmpl w:val="0F3851E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630BC"/>
    <w:multiLevelType w:val="multilevel"/>
    <w:tmpl w:val="C780F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767294"/>
    <w:multiLevelType w:val="hybridMultilevel"/>
    <w:tmpl w:val="D8F83236"/>
    <w:lvl w:ilvl="0" w:tplc="F43C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05A09"/>
    <w:multiLevelType w:val="hybridMultilevel"/>
    <w:tmpl w:val="CDEA42EE"/>
    <w:lvl w:ilvl="0" w:tplc="0409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5" w15:restartNumberingAfterBreak="0">
    <w:nsid w:val="2A8B41F9"/>
    <w:multiLevelType w:val="multilevel"/>
    <w:tmpl w:val="CEE857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853F05"/>
    <w:multiLevelType w:val="multilevel"/>
    <w:tmpl w:val="C780F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8A73EF"/>
    <w:multiLevelType w:val="hybridMultilevel"/>
    <w:tmpl w:val="CEE8570A"/>
    <w:lvl w:ilvl="0" w:tplc="D4DEEC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2368D9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FD4BA5"/>
    <w:multiLevelType w:val="hybridMultilevel"/>
    <w:tmpl w:val="D3B0A6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2B5978"/>
    <w:multiLevelType w:val="hybridMultilevel"/>
    <w:tmpl w:val="22D0C69E"/>
    <w:lvl w:ilvl="0" w:tplc="879E3E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E108D6"/>
    <w:multiLevelType w:val="hybridMultilevel"/>
    <w:tmpl w:val="B39C10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7078F7"/>
    <w:multiLevelType w:val="multilevel"/>
    <w:tmpl w:val="27508B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2A796F"/>
    <w:multiLevelType w:val="hybridMultilevel"/>
    <w:tmpl w:val="E6C0D3E0"/>
    <w:lvl w:ilvl="0" w:tplc="D99E1A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0176F7"/>
    <w:multiLevelType w:val="hybridMultilevel"/>
    <w:tmpl w:val="4A724FB2"/>
    <w:lvl w:ilvl="0" w:tplc="90F6A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C4721A"/>
    <w:multiLevelType w:val="hybridMultilevel"/>
    <w:tmpl w:val="21C612F0"/>
    <w:lvl w:ilvl="0" w:tplc="F43C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64286"/>
    <w:multiLevelType w:val="multilevel"/>
    <w:tmpl w:val="4A724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A23C82"/>
    <w:multiLevelType w:val="multilevel"/>
    <w:tmpl w:val="E9EEE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6"/>
  </w:num>
  <w:num w:numId="14">
    <w:abstractNumId w:val="10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D9694A-2149-47D4-B920-475BAF32D55E}"/>
    <w:docVar w:name="dgnword-eventsink" w:val="1474604095440"/>
  </w:docVars>
  <w:rsids>
    <w:rsidRoot w:val="003F68CB"/>
    <w:rsid w:val="000363D7"/>
    <w:rsid w:val="000462BC"/>
    <w:rsid w:val="00070959"/>
    <w:rsid w:val="00070DC0"/>
    <w:rsid w:val="00112F53"/>
    <w:rsid w:val="001B1DA3"/>
    <w:rsid w:val="001D62BC"/>
    <w:rsid w:val="00246F49"/>
    <w:rsid w:val="0026788C"/>
    <w:rsid w:val="0027198F"/>
    <w:rsid w:val="002B0757"/>
    <w:rsid w:val="002E7219"/>
    <w:rsid w:val="002F6B55"/>
    <w:rsid w:val="003066A8"/>
    <w:rsid w:val="00314491"/>
    <w:rsid w:val="003A4870"/>
    <w:rsid w:val="003F68CB"/>
    <w:rsid w:val="004508A4"/>
    <w:rsid w:val="00452DAC"/>
    <w:rsid w:val="00457865"/>
    <w:rsid w:val="00480619"/>
    <w:rsid w:val="004928B1"/>
    <w:rsid w:val="004B767A"/>
    <w:rsid w:val="004D4A37"/>
    <w:rsid w:val="004F4287"/>
    <w:rsid w:val="00554429"/>
    <w:rsid w:val="00576753"/>
    <w:rsid w:val="00577FC2"/>
    <w:rsid w:val="005A39F4"/>
    <w:rsid w:val="005E7AAC"/>
    <w:rsid w:val="006A3CF2"/>
    <w:rsid w:val="006A63FF"/>
    <w:rsid w:val="006C3E0D"/>
    <w:rsid w:val="006E2302"/>
    <w:rsid w:val="0070609D"/>
    <w:rsid w:val="00707C8C"/>
    <w:rsid w:val="00715C3F"/>
    <w:rsid w:val="00761579"/>
    <w:rsid w:val="007C6867"/>
    <w:rsid w:val="008017E9"/>
    <w:rsid w:val="00854217"/>
    <w:rsid w:val="008854EC"/>
    <w:rsid w:val="008C4602"/>
    <w:rsid w:val="008E697B"/>
    <w:rsid w:val="00900AED"/>
    <w:rsid w:val="009046A8"/>
    <w:rsid w:val="0097184E"/>
    <w:rsid w:val="0099209D"/>
    <w:rsid w:val="009A10FF"/>
    <w:rsid w:val="009B6F2C"/>
    <w:rsid w:val="00A317C5"/>
    <w:rsid w:val="00AB784C"/>
    <w:rsid w:val="00AC2100"/>
    <w:rsid w:val="00B228B7"/>
    <w:rsid w:val="00B31954"/>
    <w:rsid w:val="00B35AE5"/>
    <w:rsid w:val="00B37E77"/>
    <w:rsid w:val="00B42EA8"/>
    <w:rsid w:val="00B55CDB"/>
    <w:rsid w:val="00B967C6"/>
    <w:rsid w:val="00BB73E5"/>
    <w:rsid w:val="00C31E87"/>
    <w:rsid w:val="00C55613"/>
    <w:rsid w:val="00C658A5"/>
    <w:rsid w:val="00CD11AF"/>
    <w:rsid w:val="00CF64C7"/>
    <w:rsid w:val="00D1608C"/>
    <w:rsid w:val="00D4613C"/>
    <w:rsid w:val="00DB655C"/>
    <w:rsid w:val="00DE0379"/>
    <w:rsid w:val="00DE3FDA"/>
    <w:rsid w:val="00DF6AFA"/>
    <w:rsid w:val="00DF747F"/>
    <w:rsid w:val="00E130EB"/>
    <w:rsid w:val="00E54A47"/>
    <w:rsid w:val="00E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C381DA"/>
  <w15:chartTrackingRefBased/>
  <w15:docId w15:val="{520822ED-9D45-4B61-B469-AF32CA6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3F68CB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F68CB"/>
    <w:rPr>
      <w:color w:val="0000FF"/>
      <w:u w:val="single"/>
    </w:rPr>
  </w:style>
  <w:style w:type="paragraph" w:styleId="BodyText">
    <w:name w:val="Body Text"/>
    <w:basedOn w:val="Normal"/>
    <w:rsid w:val="003F68CB"/>
    <w:pPr>
      <w:widowControl w:val="0"/>
      <w:autoSpaceDE w:val="0"/>
      <w:autoSpaceDN w:val="0"/>
      <w:adjustRightInd w:val="0"/>
    </w:pPr>
    <w:rPr>
      <w:b/>
      <w:sz w:val="22"/>
      <w:u w:val="single"/>
    </w:rPr>
  </w:style>
  <w:style w:type="paragraph" w:styleId="BodyTextIndent2">
    <w:name w:val="Body Text Indent 2"/>
    <w:basedOn w:val="Normal"/>
    <w:rsid w:val="003F68CB"/>
    <w:pPr>
      <w:tabs>
        <w:tab w:val="left" w:pos="-1080"/>
        <w:tab w:val="left" w:pos="-720"/>
        <w:tab w:val="left" w:pos="0"/>
        <w:tab w:val="left" w:pos="450"/>
        <w:tab w:val="left" w:pos="54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80" w:hanging="1080"/>
    </w:pPr>
  </w:style>
  <w:style w:type="paragraph" w:styleId="Header">
    <w:name w:val="header"/>
    <w:basedOn w:val="Normal"/>
    <w:rsid w:val="003F6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8C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F4287"/>
    <w:pPr>
      <w:spacing w:after="120"/>
      <w:ind w:left="360"/>
    </w:pPr>
  </w:style>
  <w:style w:type="paragraph" w:styleId="BodyText2">
    <w:name w:val="Body Text 2"/>
    <w:basedOn w:val="Normal"/>
    <w:rsid w:val="004F4287"/>
    <w:pPr>
      <w:spacing w:after="120" w:line="480" w:lineRule="auto"/>
    </w:pPr>
  </w:style>
  <w:style w:type="paragraph" w:styleId="LightGrid-Accent3">
    <w:name w:val="Light Grid Accent 3"/>
    <w:basedOn w:val="Normal"/>
    <w:uiPriority w:val="34"/>
    <w:qFormat/>
    <w:rsid w:val="0076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1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A10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ccc.org/sites/default/files/DLHandbook_Final_Revision_Spr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LIST PROPOSAL PROCESS</vt:lpstr>
    </vt:vector>
  </TitlesOfParts>
  <Company>Grizli777</Company>
  <LinksUpToDate>false</LinksUpToDate>
  <CharactersWithSpaces>3825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https://asccc.org/sites/default/files/DLHandbook_Final_Revision_Spr_20.pdf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LIST PROPOSAL PROCESS</dc:title>
  <dc:subject/>
  <dc:creator>Academic Senate</dc:creator>
  <cp:keywords/>
  <cp:lastModifiedBy>Sharyn Eveland</cp:lastModifiedBy>
  <cp:revision>2</cp:revision>
  <cp:lastPrinted>2014-03-13T20:41:00Z</cp:lastPrinted>
  <dcterms:created xsi:type="dcterms:W3CDTF">2021-11-14T20:13:00Z</dcterms:created>
  <dcterms:modified xsi:type="dcterms:W3CDTF">2021-11-14T20:13:00Z</dcterms:modified>
</cp:coreProperties>
</file>